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C2FE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14:paraId="280755B1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</w:t>
      </w:r>
      <w:proofErr w:type="spellStart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finanţare</w:t>
      </w:r>
      <w:proofErr w:type="spellEnd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14:paraId="3C6F1DA0" w14:textId="77777777"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0F67A2" w:rsidRDefault="000F67A2" w:rsidP="00DD3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134F2CE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Numele programului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operaţional</w:t>
                  </w:r>
                  <w:proofErr w:type="spellEnd"/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Operaţional</w:t>
                  </w:r>
                  <w:proofErr w:type="spellEnd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3936825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14:paraId="4057F02B" w14:textId="77777777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B332D67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561B489" w14:textId="77777777" w:rsidR="000F67A2" w:rsidRPr="000F67A2" w:rsidRDefault="00DD3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DD37A2">
                    <w:rPr>
                      <w:rFonts w:ascii="Trebuchet MS" w:eastAsia="Times New Roman" w:hAnsi="Trebuchet MS" w:cs="Times New Roman"/>
                      <w:lang w:eastAsia="ro-RO"/>
                    </w:rPr>
                    <w:t>1. Întărirea capacității beneficiarilor de a pregăti și implementa proiecte finanțate din FESI și diseminarea informațiilor privind aceste fonduri</w:t>
                  </w:r>
                </w:p>
              </w:tc>
            </w:tr>
          </w:tbl>
          <w:p w14:paraId="08A579F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7254B6" w14:textId="77777777"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14:paraId="522890D9" w14:textId="77777777"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14:paraId="2999D976" w14:textId="77777777"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3734EB4E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 xml:space="preserve">modificările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 xml:space="preserve"> (Codul fiscal)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0F67A2" w:rsidRDefault="000F6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D7535C">
              <w:rPr>
                <w:rFonts w:ascii="Trebuchet MS" w:eastAsia="Times New Roman" w:hAnsi="Trebuchet MS" w:cs="Times New Roman"/>
                <w:lang w:eastAsia="ro-RO"/>
              </w:rPr>
            </w:r>
            <w:r w:rsidR="00D7535C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D7535C">
              <w:rPr>
                <w:rFonts w:ascii="Trebuchet MS" w:eastAsia="Times New Roman" w:hAnsi="Trebuchet MS" w:cs="Times New Roman"/>
                <w:lang w:eastAsia="ro-RO"/>
              </w:rPr>
            </w:r>
            <w:r w:rsidR="00D7535C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4F6165F5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achiziţiile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proiectului, cuprinse în tabelul de mai jos, TVA este nedeductibilă potrivit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legislaţiei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naţionale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în domeniul fiscal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nerecuperabilă conform prevederilor art. 69 alin. (3) lit. c) din Regulamentul (UE) nr. 1.303/2013.</w:t>
            </w:r>
          </w:p>
        </w:tc>
      </w:tr>
      <w:tr w:rsidR="000F67A2" w:rsidRPr="000F67A2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 xml:space="preserve">Scopul </w:t>
            </w:r>
            <w:proofErr w:type="spellStart"/>
            <w:r>
              <w:rPr>
                <w:rFonts w:ascii="Trebuchet MS" w:eastAsia="Times New Roman" w:hAnsi="Trebuchet MS" w:cs="Times New Roman"/>
                <w:lang w:eastAsia="ro-RO"/>
              </w:rPr>
              <w:t>achiziţiei</w:t>
            </w:r>
            <w:proofErr w:type="spellEnd"/>
            <w:r>
              <w:rPr>
                <w:rFonts w:ascii="Trebuchet MS" w:eastAsia="Times New Roman" w:hAnsi="Trebuchet MS" w:cs="Times New Roman"/>
                <w:lang w:eastAsia="ro-RO"/>
              </w:rPr>
              <w:t>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Atenţie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! Se va completa cu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aceleaşi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informaţii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corespunzătoare din cererea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4696B368" w14:textId="77777777" w:rsid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1E6D768C" w14:textId="77777777" w:rsidR="00DD37A2" w:rsidRPr="000F67A2" w:rsidRDefault="00DD3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0F67A2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77777777" w:rsidR="00DD37A2" w:rsidRPr="000F67A2" w:rsidRDefault="00DD3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declar că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nu beneficiez de schemă/scheme de compensare a TVA la nivel național, regional sau local, valoarea TVA aferente achizițiilor de la furnizori este reală, corectă, suportată pe cheltuieli și nu a fost recuperată prin nicio modalitate pentru achizițiile deja efectuate</w:t>
            </w:r>
            <w:r w:rsidRPr="00B91BB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28BD7481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072B4824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227B474D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14:paraId="6E6B0D9E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1BF64C87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52E2A0B2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proofErr w:type="spellStart"/>
      <w:r w:rsidRPr="000F67A2">
        <w:rPr>
          <w:rFonts w:ascii="Trebuchet MS" w:eastAsia="Times New Roman" w:hAnsi="Trebuchet MS" w:cs="Times New Roman"/>
          <w:lang w:eastAsia="sk-SK"/>
        </w:rPr>
        <w:t>Funcţia</w:t>
      </w:r>
      <w:proofErr w:type="spellEnd"/>
      <w:r w:rsidRPr="000F67A2">
        <w:rPr>
          <w:rFonts w:ascii="Trebuchet MS" w:eastAsia="Times New Roman" w:hAnsi="Trebuchet MS" w:cs="Times New Roman"/>
          <w:lang w:eastAsia="sk-SK"/>
        </w:rPr>
        <w:t>:</w:t>
      </w:r>
    </w:p>
    <w:p w14:paraId="5B3BBBB5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1D9CEFF0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3A53F" w14:textId="77777777" w:rsidR="00D7535C" w:rsidRDefault="00D7535C" w:rsidP="00250B11">
      <w:pPr>
        <w:spacing w:after="0" w:line="240" w:lineRule="auto"/>
      </w:pPr>
      <w:r>
        <w:separator/>
      </w:r>
    </w:p>
  </w:endnote>
  <w:endnote w:type="continuationSeparator" w:id="0">
    <w:p w14:paraId="21BC1F27" w14:textId="77777777" w:rsidR="00D7535C" w:rsidRDefault="00D7535C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6F72F" w14:textId="77777777" w:rsidR="00250B11" w:rsidRDefault="00250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AD765" w14:textId="77777777" w:rsidR="00250B11" w:rsidRDefault="00250B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5EA53" w14:textId="77777777" w:rsidR="00250B11" w:rsidRDefault="00250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A833C" w14:textId="77777777" w:rsidR="00D7535C" w:rsidRDefault="00D7535C" w:rsidP="00250B11">
      <w:pPr>
        <w:spacing w:after="0" w:line="240" w:lineRule="auto"/>
      </w:pPr>
      <w:r>
        <w:separator/>
      </w:r>
    </w:p>
  </w:footnote>
  <w:footnote w:type="continuationSeparator" w:id="0">
    <w:p w14:paraId="1935AE1C" w14:textId="77777777" w:rsidR="00D7535C" w:rsidRDefault="00D7535C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F0BC8" w14:textId="77777777" w:rsidR="00250B11" w:rsidRDefault="00250B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ED76B" w14:textId="77777777" w:rsidR="00250B11" w:rsidRDefault="00250B11" w:rsidP="00250B11">
    <w:pPr>
      <w:pStyle w:val="Header"/>
      <w:jc w:val="right"/>
    </w:pPr>
    <w:r>
      <w:t>Anexa 4</w:t>
    </w:r>
  </w:p>
  <w:p w14:paraId="755B05A6" w14:textId="77777777" w:rsidR="00250B11" w:rsidRDefault="00250B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F3F64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A2"/>
    <w:rsid w:val="00017362"/>
    <w:rsid w:val="000F67A2"/>
    <w:rsid w:val="00250B11"/>
    <w:rsid w:val="0049376A"/>
    <w:rsid w:val="0051731A"/>
    <w:rsid w:val="005C7482"/>
    <w:rsid w:val="006065DB"/>
    <w:rsid w:val="006C1AA4"/>
    <w:rsid w:val="006C69B7"/>
    <w:rsid w:val="00701F89"/>
    <w:rsid w:val="0076638A"/>
    <w:rsid w:val="00AF512A"/>
    <w:rsid w:val="00B0646A"/>
    <w:rsid w:val="00B33EC2"/>
    <w:rsid w:val="00B91BB2"/>
    <w:rsid w:val="00BA7B18"/>
    <w:rsid w:val="00D7535C"/>
    <w:rsid w:val="00DD37A2"/>
    <w:rsid w:val="00DF19F0"/>
    <w:rsid w:val="00F4059A"/>
    <w:rsid w:val="00F42463"/>
    <w:rsid w:val="00F46295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Mirela Felega</cp:lastModifiedBy>
  <cp:revision>2</cp:revision>
  <dcterms:created xsi:type="dcterms:W3CDTF">2020-11-19T12:16:00Z</dcterms:created>
  <dcterms:modified xsi:type="dcterms:W3CDTF">2020-11-19T12:16:00Z</dcterms:modified>
</cp:coreProperties>
</file>